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91D6" w14:textId="77777777" w:rsidR="00807BF8" w:rsidRPr="00580ABD" w:rsidRDefault="00807BF8" w:rsidP="00807BF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E39CE">
        <w:rPr>
          <w:rFonts w:asciiTheme="majorBidi" w:hAnsiTheme="majorBidi" w:cstheme="majorBidi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B90C5" wp14:editId="7AAD7F39">
                <wp:simplePos x="0" y="0"/>
                <wp:positionH relativeFrom="column">
                  <wp:posOffset>4848225</wp:posOffset>
                </wp:positionH>
                <wp:positionV relativeFrom="paragraph">
                  <wp:posOffset>-600075</wp:posOffset>
                </wp:positionV>
                <wp:extent cx="1819275" cy="1781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AD9B" w14:textId="77777777" w:rsidR="00A91736" w:rsidRDefault="00A91736" w:rsidP="00807BF8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2FFB21A" wp14:editId="3660658A">
                                  <wp:extent cx="1591241" cy="16002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2942" cy="1601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BB9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47.25pt;width:143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7W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" stroked="f">
                <v:textbox>
                  <w:txbxContent>
                    <w:p w14:paraId="6CF6AD9B" w14:textId="77777777" w:rsidR="00A91736" w:rsidRDefault="00A91736" w:rsidP="00807BF8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2FFB21A" wp14:editId="3660658A">
                            <wp:extent cx="1591241" cy="16002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h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2942" cy="1601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80ABD">
        <w:rPr>
          <w:rFonts w:asciiTheme="majorBidi" w:hAnsiTheme="majorBidi" w:cstheme="majorBidi"/>
          <w:b/>
          <w:bCs/>
          <w:sz w:val="28"/>
          <w:szCs w:val="28"/>
        </w:rPr>
        <w:t xml:space="preserve">Mahmoud Ahmed </w:t>
      </w:r>
      <w:proofErr w:type="spellStart"/>
      <w:r w:rsidRPr="00580ABD">
        <w:rPr>
          <w:rFonts w:asciiTheme="majorBidi" w:hAnsiTheme="majorBidi" w:cstheme="majorBidi"/>
          <w:b/>
          <w:bCs/>
          <w:sz w:val="28"/>
          <w:szCs w:val="28"/>
        </w:rPr>
        <w:t>Abdo</w:t>
      </w:r>
      <w:proofErr w:type="spellEnd"/>
      <w:r w:rsidRPr="00580ABD">
        <w:rPr>
          <w:rFonts w:asciiTheme="majorBidi" w:hAnsiTheme="majorBidi" w:cstheme="majorBidi"/>
          <w:b/>
          <w:bCs/>
          <w:sz w:val="28"/>
          <w:szCs w:val="28"/>
        </w:rPr>
        <w:t xml:space="preserve"> Said</w:t>
      </w:r>
    </w:p>
    <w:p w14:paraId="14C26F60" w14:textId="77777777" w:rsidR="00807BF8" w:rsidRDefault="00807BF8" w:rsidP="00807BF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0ABD">
        <w:rPr>
          <w:rFonts w:asciiTheme="majorBidi" w:hAnsiTheme="majorBidi" w:cstheme="majorBidi"/>
          <w:b/>
          <w:bCs/>
          <w:sz w:val="28"/>
          <w:szCs w:val="28"/>
        </w:rPr>
        <w:t xml:space="preserve">Abdel </w:t>
      </w:r>
      <w:proofErr w:type="spellStart"/>
      <w:r w:rsidRPr="00580ABD">
        <w:rPr>
          <w:rFonts w:asciiTheme="majorBidi" w:hAnsiTheme="majorBidi" w:cstheme="majorBidi"/>
          <w:b/>
          <w:bCs/>
          <w:sz w:val="28"/>
          <w:szCs w:val="28"/>
        </w:rPr>
        <w:t>latif</w:t>
      </w:r>
      <w:proofErr w:type="spellEnd"/>
      <w:r w:rsidRPr="00580A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80ABD">
        <w:rPr>
          <w:rFonts w:asciiTheme="majorBidi" w:hAnsiTheme="majorBidi" w:cstheme="majorBidi"/>
          <w:b/>
          <w:bCs/>
          <w:sz w:val="28"/>
          <w:szCs w:val="28"/>
        </w:rPr>
        <w:t>hasaneen</w:t>
      </w:r>
      <w:proofErr w:type="spellEnd"/>
      <w:r w:rsidRPr="00580ABD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580ABD">
        <w:rPr>
          <w:rFonts w:asciiTheme="majorBidi" w:hAnsiTheme="majorBidi" w:cstheme="majorBidi"/>
          <w:b/>
          <w:bCs/>
          <w:sz w:val="28"/>
          <w:szCs w:val="28"/>
        </w:rPr>
        <w:t>Zagazig</w:t>
      </w:r>
      <w:proofErr w:type="spellEnd"/>
      <w:r w:rsidRPr="00580ABD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580ABD">
        <w:rPr>
          <w:rFonts w:asciiTheme="majorBidi" w:hAnsiTheme="majorBidi" w:cstheme="majorBidi"/>
          <w:b/>
          <w:bCs/>
          <w:sz w:val="28"/>
          <w:szCs w:val="28"/>
        </w:rPr>
        <w:t>Sharkia</w:t>
      </w:r>
      <w:proofErr w:type="spellEnd"/>
      <w:r w:rsidRPr="00580ABD">
        <w:rPr>
          <w:rFonts w:asciiTheme="majorBidi" w:hAnsiTheme="majorBidi" w:cstheme="majorBidi"/>
          <w:b/>
          <w:bCs/>
          <w:sz w:val="28"/>
          <w:szCs w:val="28"/>
        </w:rPr>
        <w:t>, Egypt</w:t>
      </w:r>
    </w:p>
    <w:p w14:paraId="023764EF" w14:textId="77777777" w:rsidR="003B57A8" w:rsidRPr="00580ABD" w:rsidRDefault="003B57A8" w:rsidP="00807BF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Mobile no.: 00201118379260</w:t>
      </w:r>
    </w:p>
    <w:p w14:paraId="2227DB00" w14:textId="77777777" w:rsidR="00807BF8" w:rsidRPr="00580ABD" w:rsidRDefault="00807BF8" w:rsidP="00807BF8">
      <w:pPr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580ABD">
        <w:rPr>
          <w:rFonts w:ascii="Algerian" w:hAnsi="Algerian"/>
          <w:b/>
          <w:bCs/>
          <w:i/>
          <w:iCs/>
          <w:sz w:val="26"/>
          <w:szCs w:val="26"/>
          <w:u w:val="single"/>
        </w:rPr>
        <w:t>Personal information:</w:t>
      </w:r>
      <w:r>
        <w:rPr>
          <w:rFonts w:ascii="Algerian" w:hAnsi="Algerian"/>
          <w:b/>
          <w:bCs/>
          <w:i/>
          <w:iCs/>
          <w:sz w:val="26"/>
          <w:szCs w:val="26"/>
          <w:u w:val="single"/>
        </w:rPr>
        <w:t>-</w:t>
      </w:r>
    </w:p>
    <w:p w14:paraId="6E094EFD" w14:textId="77777777" w:rsidR="00807BF8" w:rsidRPr="00C5182F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C5182F">
        <w:rPr>
          <w:rFonts w:ascii="Verdana" w:hAnsi="Verdana"/>
          <w:b/>
          <w:bCs/>
          <w:color w:val="000000" w:themeColor="text1"/>
          <w:sz w:val="20"/>
          <w:szCs w:val="20"/>
        </w:rPr>
        <w:t>Place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of birth</w:t>
      </w:r>
      <w:r w:rsidRPr="00C5182F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C5182F">
        <w:rPr>
          <w:rFonts w:ascii="Verdana" w:hAnsi="Verdana"/>
          <w:color w:val="000000" w:themeColor="text1"/>
          <w:sz w:val="20"/>
          <w:szCs w:val="20"/>
        </w:rPr>
        <w:t>Tokyo, Japan.</w:t>
      </w:r>
    </w:p>
    <w:p w14:paraId="76283565" w14:textId="77777777" w:rsidR="00807BF8" w:rsidRPr="00C5182F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Nationality</w:t>
      </w:r>
      <w:r w:rsidRPr="00C5182F">
        <w:rPr>
          <w:rFonts w:ascii="Verdana" w:hAnsi="Verdana"/>
          <w:color w:val="000000" w:themeColor="text1"/>
          <w:sz w:val="20"/>
          <w:szCs w:val="20"/>
        </w:rPr>
        <w:t>: Egyptian.</w:t>
      </w:r>
    </w:p>
    <w:p w14:paraId="7F955CB2" w14:textId="77777777" w:rsidR="00807BF8" w:rsidRPr="00C5182F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Marital status</w:t>
      </w:r>
      <w:r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C5182F">
        <w:rPr>
          <w:rFonts w:ascii="Verdana" w:hAnsi="Verdana"/>
          <w:color w:val="000000" w:themeColor="text1"/>
          <w:sz w:val="20"/>
          <w:szCs w:val="20"/>
        </w:rPr>
        <w:t>Single</w:t>
      </w:r>
    </w:p>
    <w:p w14:paraId="2012265B" w14:textId="77777777" w:rsidR="00807BF8" w:rsidRPr="00C5182F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Date of Birth</w:t>
      </w:r>
      <w:r>
        <w:rPr>
          <w:rFonts w:ascii="Verdana" w:hAnsi="Verdana"/>
          <w:color w:val="000000" w:themeColor="text1"/>
          <w:sz w:val="20"/>
          <w:szCs w:val="20"/>
        </w:rPr>
        <w:t xml:space="preserve">: </w:t>
      </w:r>
      <w:smartTag w:uri="urn:schemas-microsoft-com:office:smarttags" w:element="date">
        <w:smartTagPr>
          <w:attr w:name="Month" w:val="8"/>
          <w:attr w:name="Day" w:val="19"/>
          <w:attr w:name="Year" w:val="1991"/>
        </w:smartTagPr>
        <w:r w:rsidRPr="00C5182F">
          <w:rPr>
            <w:rFonts w:ascii="Verdana" w:hAnsi="Verdana"/>
            <w:color w:val="000000" w:themeColor="text1"/>
            <w:sz w:val="20"/>
            <w:szCs w:val="20"/>
          </w:rPr>
          <w:t>August, 19, 1991</w:t>
        </w:r>
      </w:smartTag>
      <w:r w:rsidRPr="00C5182F">
        <w:rPr>
          <w:rFonts w:ascii="Verdana" w:hAnsi="Verdana"/>
          <w:color w:val="000000" w:themeColor="text1"/>
          <w:sz w:val="20"/>
          <w:szCs w:val="20"/>
        </w:rPr>
        <w:t>.</w:t>
      </w:r>
    </w:p>
    <w:p w14:paraId="7356371D" w14:textId="77777777" w:rsidR="00807BF8" w:rsidRPr="00C5182F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National ID No.</w:t>
      </w:r>
      <w:r w:rsidRPr="00C5182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: </w:t>
      </w:r>
      <w:r>
        <w:rPr>
          <w:rFonts w:ascii="Verdana" w:hAnsi="Verdana"/>
          <w:color w:val="000000" w:themeColor="text1"/>
          <w:sz w:val="20"/>
          <w:szCs w:val="20"/>
        </w:rPr>
        <w:t>29108198800052</w:t>
      </w:r>
    </w:p>
    <w:p w14:paraId="4D8D4D5E" w14:textId="77777777" w:rsidR="00807BF8" w:rsidRPr="00C5182F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16"/>
          <w:szCs w:val="16"/>
        </w:rPr>
      </w:pPr>
      <w:r w:rsidRPr="00C5182F">
        <w:rPr>
          <w:rFonts w:ascii="Verdana" w:hAnsi="Verdana"/>
          <w:b/>
          <w:bCs/>
          <w:color w:val="000000" w:themeColor="text1"/>
          <w:sz w:val="20"/>
          <w:szCs w:val="20"/>
        </w:rPr>
        <w:t>Driving License: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C5182F">
        <w:rPr>
          <w:rFonts w:ascii="Verdana" w:hAnsi="Verdana"/>
          <w:color w:val="000000" w:themeColor="text1"/>
          <w:sz w:val="20"/>
          <w:szCs w:val="20"/>
        </w:rPr>
        <w:t>Since 2009.</w:t>
      </w:r>
    </w:p>
    <w:p w14:paraId="40DDF67A" w14:textId="77777777" w:rsidR="00807BF8" w:rsidRPr="00C5182F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C5182F">
        <w:rPr>
          <w:rFonts w:ascii="Verdana" w:hAnsi="Verdana"/>
          <w:b/>
          <w:bCs/>
          <w:color w:val="000000" w:themeColor="text1"/>
          <w:sz w:val="20"/>
          <w:szCs w:val="20"/>
        </w:rPr>
        <w:t>Military Service Status:</w:t>
      </w:r>
      <w:r w:rsidRPr="00C5182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C5182F">
        <w:rPr>
          <w:rFonts w:ascii="Verdana" w:hAnsi="Verdana"/>
          <w:color w:val="000000" w:themeColor="text1"/>
          <w:sz w:val="20"/>
          <w:szCs w:val="20"/>
        </w:rPr>
        <w:t>Exempted.</w:t>
      </w:r>
    </w:p>
    <w:p w14:paraId="1E456C4E" w14:textId="77777777" w:rsidR="00807BF8" w:rsidRDefault="00807BF8" w:rsidP="00807BF8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C5182F">
        <w:rPr>
          <w:rFonts w:ascii="Verdana" w:hAnsi="Verdana"/>
          <w:b/>
          <w:bCs/>
          <w:color w:val="000000" w:themeColor="text1"/>
          <w:sz w:val="20"/>
          <w:szCs w:val="20"/>
        </w:rPr>
        <w:t>Passport No.</w:t>
      </w:r>
      <w:r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C5182F">
        <w:rPr>
          <w:rFonts w:ascii="Verdana" w:hAnsi="Verdana"/>
          <w:color w:val="000000" w:themeColor="text1"/>
          <w:sz w:val="20"/>
          <w:szCs w:val="20"/>
        </w:rPr>
        <w:t>A11889562</w:t>
      </w:r>
    </w:p>
    <w:p w14:paraId="6858B8D6" w14:textId="77777777" w:rsidR="00F9542C" w:rsidRPr="00F9542C" w:rsidRDefault="00F9542C" w:rsidP="00F9542C">
      <w:pPr>
        <w:tabs>
          <w:tab w:val="num" w:pos="2400"/>
        </w:tabs>
        <w:spacing w:after="0" w:line="240" w:lineRule="auto"/>
        <w:ind w:right="180"/>
        <w:jc w:val="lowKashida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Email: </w:t>
      </w:r>
      <w:hyperlink r:id="rId8" w:history="1">
        <w:r w:rsidRPr="005C50B6">
          <w:rPr>
            <w:rStyle w:val="Hyperlink"/>
            <w:rFonts w:ascii="Verdana" w:hAnsi="Verdana"/>
            <w:sz w:val="20"/>
            <w:szCs w:val="20"/>
          </w:rPr>
          <w:t>ph.mahmoud.91@gmail.com</w:t>
        </w:r>
      </w:hyperlink>
    </w:p>
    <w:p w14:paraId="2EB7D50A" w14:textId="77777777" w:rsidR="00807BF8" w:rsidRDefault="00807BF8" w:rsidP="00807BF8">
      <w:pPr>
        <w:jc w:val="center"/>
      </w:pPr>
      <w:r>
        <w:t>__________________________________________________________________</w:t>
      </w:r>
    </w:p>
    <w:p w14:paraId="5D74BEAB" w14:textId="77777777" w:rsidR="00807BF8" w:rsidRPr="00580ABD" w:rsidRDefault="00807BF8" w:rsidP="00807BF8">
      <w:pPr>
        <w:tabs>
          <w:tab w:val="left" w:pos="1035"/>
        </w:tabs>
        <w:rPr>
          <w:rFonts w:ascii="Algerian" w:hAnsi="Algerian"/>
          <w:b/>
          <w:bCs/>
          <w:i/>
          <w:iCs/>
          <w:u w:val="single"/>
        </w:rPr>
      </w:pPr>
      <w:r w:rsidRPr="00580ABD">
        <w:rPr>
          <w:rFonts w:ascii="Algerian" w:hAnsi="Algerian"/>
          <w:b/>
          <w:bCs/>
          <w:i/>
          <w:iCs/>
          <w:sz w:val="26"/>
          <w:szCs w:val="26"/>
          <w:u w:val="single"/>
        </w:rPr>
        <w:t>Educational background:</w:t>
      </w:r>
    </w:p>
    <w:tbl>
      <w:tblPr>
        <w:tblStyle w:val="TableGrid"/>
        <w:tblW w:w="10584" w:type="dxa"/>
        <w:tblInd w:w="-600" w:type="dxa"/>
        <w:tblLook w:val="04A0" w:firstRow="1" w:lastRow="0" w:firstColumn="1" w:lastColumn="0" w:noHBand="0" w:noVBand="1"/>
      </w:tblPr>
      <w:tblGrid>
        <w:gridCol w:w="1478"/>
        <w:gridCol w:w="2529"/>
        <w:gridCol w:w="2367"/>
        <w:gridCol w:w="923"/>
        <w:gridCol w:w="1327"/>
        <w:gridCol w:w="1960"/>
      </w:tblGrid>
      <w:tr w:rsidR="00807BF8" w:rsidRPr="00807BF8" w14:paraId="5EE022AA" w14:textId="77777777" w:rsidTr="009373D8">
        <w:trPr>
          <w:trHeight w:val="326"/>
        </w:trPr>
        <w:tc>
          <w:tcPr>
            <w:tcW w:w="1478" w:type="dxa"/>
            <w:vMerge w:val="restart"/>
          </w:tcPr>
          <w:p w14:paraId="62C37E63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2529" w:type="dxa"/>
            <w:vMerge w:val="restart"/>
          </w:tcPr>
          <w:p w14:paraId="00D474C2" w14:textId="77777777" w:rsidR="00807BF8" w:rsidRPr="00807BF8" w:rsidRDefault="009373D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Special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</w:t>
            </w: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2367" w:type="dxa"/>
            <w:vMerge w:val="restart"/>
          </w:tcPr>
          <w:p w14:paraId="718FF351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of University</w:t>
            </w:r>
          </w:p>
        </w:tc>
        <w:tc>
          <w:tcPr>
            <w:tcW w:w="2250" w:type="dxa"/>
            <w:gridSpan w:val="2"/>
          </w:tcPr>
          <w:p w14:paraId="3A765726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960" w:type="dxa"/>
            <w:vMerge w:val="restart"/>
          </w:tcPr>
          <w:p w14:paraId="68FA2166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Language of study</w:t>
            </w:r>
          </w:p>
        </w:tc>
      </w:tr>
      <w:tr w:rsidR="00807BF8" w:rsidRPr="00807BF8" w14:paraId="79BDDF5A" w14:textId="77777777" w:rsidTr="009373D8">
        <w:trPr>
          <w:trHeight w:val="365"/>
        </w:trPr>
        <w:tc>
          <w:tcPr>
            <w:tcW w:w="1478" w:type="dxa"/>
            <w:vMerge/>
          </w:tcPr>
          <w:p w14:paraId="579EC114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529" w:type="dxa"/>
            <w:vMerge/>
          </w:tcPr>
          <w:p w14:paraId="0061F6A2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367" w:type="dxa"/>
            <w:vMerge/>
          </w:tcPr>
          <w:p w14:paraId="493F5A93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23" w:type="dxa"/>
          </w:tcPr>
          <w:p w14:paraId="1E829C50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1327" w:type="dxa"/>
          </w:tcPr>
          <w:p w14:paraId="13B361F0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1960" w:type="dxa"/>
            <w:vMerge/>
          </w:tcPr>
          <w:p w14:paraId="63C0E27E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807BF8" w:rsidRPr="00807BF8" w14:paraId="506C45E1" w14:textId="77777777" w:rsidTr="009373D8">
        <w:trPr>
          <w:trHeight w:val="343"/>
        </w:trPr>
        <w:tc>
          <w:tcPr>
            <w:tcW w:w="1478" w:type="dxa"/>
          </w:tcPr>
          <w:p w14:paraId="042E68E6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PhD </w:t>
            </w:r>
          </w:p>
        </w:tc>
        <w:tc>
          <w:tcPr>
            <w:tcW w:w="2529" w:type="dxa"/>
          </w:tcPr>
          <w:p w14:paraId="037AF3EF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Pharmacology</w:t>
            </w:r>
          </w:p>
          <w:p w14:paraId="1EECCA07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 of defense: 07/10/2019</w:t>
            </w:r>
          </w:p>
        </w:tc>
        <w:tc>
          <w:tcPr>
            <w:tcW w:w="2367" w:type="dxa"/>
          </w:tcPr>
          <w:p w14:paraId="7D0F3CD7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Zagazig</w:t>
            </w:r>
            <w:proofErr w:type="spellEnd"/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University</w:t>
            </w:r>
          </w:p>
        </w:tc>
        <w:tc>
          <w:tcPr>
            <w:tcW w:w="923" w:type="dxa"/>
          </w:tcPr>
          <w:p w14:paraId="4C9DFD30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2016 </w:t>
            </w:r>
          </w:p>
        </w:tc>
        <w:tc>
          <w:tcPr>
            <w:tcW w:w="1327" w:type="dxa"/>
          </w:tcPr>
          <w:p w14:paraId="640708A8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960" w:type="dxa"/>
          </w:tcPr>
          <w:p w14:paraId="7CE3F649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English</w:t>
            </w:r>
          </w:p>
        </w:tc>
      </w:tr>
      <w:tr w:rsidR="00807BF8" w:rsidRPr="00807BF8" w14:paraId="300B7F0E" w14:textId="77777777" w:rsidTr="009373D8">
        <w:trPr>
          <w:trHeight w:val="321"/>
        </w:trPr>
        <w:tc>
          <w:tcPr>
            <w:tcW w:w="1478" w:type="dxa"/>
          </w:tcPr>
          <w:p w14:paraId="64C1B036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MSc</w:t>
            </w:r>
          </w:p>
        </w:tc>
        <w:tc>
          <w:tcPr>
            <w:tcW w:w="2529" w:type="dxa"/>
          </w:tcPr>
          <w:p w14:paraId="759201E6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Pharmacology</w:t>
            </w:r>
          </w:p>
        </w:tc>
        <w:tc>
          <w:tcPr>
            <w:tcW w:w="2367" w:type="dxa"/>
          </w:tcPr>
          <w:p w14:paraId="7D5FBF2D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Zagazig</w:t>
            </w:r>
            <w:proofErr w:type="spellEnd"/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University</w:t>
            </w:r>
          </w:p>
        </w:tc>
        <w:tc>
          <w:tcPr>
            <w:tcW w:w="923" w:type="dxa"/>
          </w:tcPr>
          <w:p w14:paraId="5D360D78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327" w:type="dxa"/>
          </w:tcPr>
          <w:p w14:paraId="7DAF92A0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960" w:type="dxa"/>
          </w:tcPr>
          <w:p w14:paraId="539902C1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English</w:t>
            </w:r>
          </w:p>
        </w:tc>
      </w:tr>
      <w:tr w:rsidR="00807BF8" w:rsidRPr="00807BF8" w14:paraId="625B0287" w14:textId="77777777" w:rsidTr="009373D8">
        <w:trPr>
          <w:trHeight w:val="708"/>
        </w:trPr>
        <w:tc>
          <w:tcPr>
            <w:tcW w:w="1478" w:type="dxa"/>
          </w:tcPr>
          <w:p w14:paraId="441606DD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BSc.</w:t>
            </w:r>
          </w:p>
        </w:tc>
        <w:tc>
          <w:tcPr>
            <w:tcW w:w="2529" w:type="dxa"/>
          </w:tcPr>
          <w:p w14:paraId="1C1230C4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Pharmaceutical sciences</w:t>
            </w:r>
          </w:p>
        </w:tc>
        <w:tc>
          <w:tcPr>
            <w:tcW w:w="2367" w:type="dxa"/>
          </w:tcPr>
          <w:p w14:paraId="00E598F0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Egyptian Russian University</w:t>
            </w:r>
          </w:p>
        </w:tc>
        <w:tc>
          <w:tcPr>
            <w:tcW w:w="923" w:type="dxa"/>
          </w:tcPr>
          <w:p w14:paraId="0328D87A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2008</w:t>
            </w:r>
          </w:p>
        </w:tc>
        <w:tc>
          <w:tcPr>
            <w:tcW w:w="1327" w:type="dxa"/>
          </w:tcPr>
          <w:p w14:paraId="51057705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960" w:type="dxa"/>
          </w:tcPr>
          <w:p w14:paraId="59B3D0B8" w14:textId="77777777" w:rsidR="00807BF8" w:rsidRPr="00807BF8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07BF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English</w:t>
            </w:r>
          </w:p>
        </w:tc>
      </w:tr>
    </w:tbl>
    <w:p w14:paraId="587CCD28" w14:textId="77777777" w:rsidR="00807BF8" w:rsidRDefault="00807BF8" w:rsidP="00807BF8">
      <w:pPr>
        <w:tabs>
          <w:tab w:val="left" w:pos="1035"/>
        </w:tabs>
      </w:pPr>
    </w:p>
    <w:p w14:paraId="46D768BF" w14:textId="77777777" w:rsidR="00807BF8" w:rsidRDefault="00807BF8" w:rsidP="00807BF8">
      <w:pPr>
        <w:tabs>
          <w:tab w:val="left" w:pos="1035"/>
        </w:tabs>
        <w:jc w:val="center"/>
      </w:pPr>
      <w:r>
        <w:t>______________________________________________________________________</w:t>
      </w:r>
    </w:p>
    <w:p w14:paraId="50DA52D5" w14:textId="77777777" w:rsidR="00807BF8" w:rsidRPr="00E67477" w:rsidRDefault="00807BF8" w:rsidP="00807BF8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E67477">
        <w:rPr>
          <w:rFonts w:ascii="Algerian" w:hAnsi="Algerian"/>
          <w:b/>
          <w:bCs/>
          <w:i/>
          <w:iCs/>
          <w:sz w:val="26"/>
          <w:szCs w:val="26"/>
          <w:u w:val="single"/>
        </w:rPr>
        <w:t>Work experience:-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898"/>
        <w:gridCol w:w="1722"/>
        <w:gridCol w:w="2184"/>
        <w:gridCol w:w="1727"/>
        <w:gridCol w:w="1676"/>
      </w:tblGrid>
      <w:tr w:rsidR="00807BF8" w:rsidRPr="00E67477" w14:paraId="049F3AAA" w14:textId="77777777" w:rsidTr="00A91736">
        <w:trPr>
          <w:trHeight w:val="188"/>
        </w:trPr>
        <w:tc>
          <w:tcPr>
            <w:tcW w:w="2898" w:type="dxa"/>
            <w:vMerge w:val="restart"/>
          </w:tcPr>
          <w:p w14:paraId="62A8A159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</w:tc>
        <w:tc>
          <w:tcPr>
            <w:tcW w:w="1722" w:type="dxa"/>
            <w:vMerge w:val="restart"/>
          </w:tcPr>
          <w:p w14:paraId="7A42C9B7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</w:p>
        </w:tc>
        <w:tc>
          <w:tcPr>
            <w:tcW w:w="2184" w:type="dxa"/>
            <w:vMerge w:val="restart"/>
          </w:tcPr>
          <w:p w14:paraId="6F417161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Position</w:t>
            </w:r>
          </w:p>
        </w:tc>
        <w:tc>
          <w:tcPr>
            <w:tcW w:w="3403" w:type="dxa"/>
            <w:gridSpan w:val="2"/>
          </w:tcPr>
          <w:p w14:paraId="3CA798D7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807BF8" w:rsidRPr="00E67477" w14:paraId="1E1D99C5" w14:textId="77777777" w:rsidTr="00A91736">
        <w:trPr>
          <w:trHeight w:val="384"/>
        </w:trPr>
        <w:tc>
          <w:tcPr>
            <w:tcW w:w="2898" w:type="dxa"/>
            <w:vMerge/>
          </w:tcPr>
          <w:p w14:paraId="6B9A34F7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15EEE430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14:paraId="08B4D40A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C374BDE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 xml:space="preserve"> From</w:t>
            </w:r>
          </w:p>
          <w:p w14:paraId="10663B06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CF31193" w14:textId="77777777" w:rsidR="00807BF8" w:rsidRPr="00E67477" w:rsidRDefault="00807BF8" w:rsidP="00A917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14:paraId="53F5F750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07BF8" w:rsidRPr="00E67477" w14:paraId="0666282C" w14:textId="77777777" w:rsidTr="00A91736">
        <w:trPr>
          <w:trHeight w:val="226"/>
        </w:trPr>
        <w:tc>
          <w:tcPr>
            <w:tcW w:w="2898" w:type="dxa"/>
          </w:tcPr>
          <w:p w14:paraId="70A0EF02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477">
              <w:rPr>
                <w:rFonts w:asciiTheme="majorBidi" w:hAnsiTheme="majorBidi" w:cstheme="majorBidi"/>
                <w:sz w:val="24"/>
                <w:szCs w:val="24"/>
              </w:rPr>
              <w:t>Zagazig</w:t>
            </w:r>
            <w:proofErr w:type="spellEnd"/>
            <w:r w:rsidRPr="00E67477">
              <w:rPr>
                <w:rFonts w:asciiTheme="majorBidi" w:hAnsiTheme="majorBidi" w:cstheme="majorBidi"/>
                <w:sz w:val="24"/>
                <w:szCs w:val="24"/>
              </w:rPr>
              <w:t xml:space="preserve"> General Hospital</w:t>
            </w:r>
          </w:p>
        </w:tc>
        <w:tc>
          <w:tcPr>
            <w:tcW w:w="1722" w:type="dxa"/>
          </w:tcPr>
          <w:p w14:paraId="68FE14C3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 xml:space="preserve"> Blood bank</w:t>
            </w:r>
          </w:p>
        </w:tc>
        <w:tc>
          <w:tcPr>
            <w:tcW w:w="2184" w:type="dxa"/>
          </w:tcPr>
          <w:p w14:paraId="766F728D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Director</w:t>
            </w:r>
          </w:p>
        </w:tc>
        <w:tc>
          <w:tcPr>
            <w:tcW w:w="1727" w:type="dxa"/>
          </w:tcPr>
          <w:p w14:paraId="2C8A72C6" w14:textId="77777777" w:rsidR="00807BF8" w:rsidRPr="00E67477" w:rsidRDefault="004F195A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July-</w:t>
            </w:r>
            <w:r w:rsidR="00807BF8" w:rsidRPr="00E67477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1676" w:type="dxa"/>
          </w:tcPr>
          <w:p w14:paraId="5661F0F7" w14:textId="77777777" w:rsidR="00807BF8" w:rsidRPr="00E67477" w:rsidRDefault="004F195A" w:rsidP="004F19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January-2020</w:t>
            </w:r>
          </w:p>
        </w:tc>
      </w:tr>
      <w:tr w:rsidR="00807BF8" w:rsidRPr="00E67477" w14:paraId="49717256" w14:textId="77777777" w:rsidTr="00A91736">
        <w:trPr>
          <w:trHeight w:val="226"/>
        </w:trPr>
        <w:tc>
          <w:tcPr>
            <w:tcW w:w="2898" w:type="dxa"/>
          </w:tcPr>
          <w:p w14:paraId="181FDDCE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477">
              <w:rPr>
                <w:rFonts w:asciiTheme="majorBidi" w:hAnsiTheme="majorBidi" w:cstheme="majorBidi"/>
                <w:sz w:val="24"/>
                <w:szCs w:val="24"/>
              </w:rPr>
              <w:t>Zagazig</w:t>
            </w:r>
            <w:proofErr w:type="spellEnd"/>
            <w:r w:rsidRPr="00E67477">
              <w:rPr>
                <w:rFonts w:asciiTheme="majorBidi" w:hAnsiTheme="majorBidi" w:cstheme="majorBidi"/>
                <w:sz w:val="24"/>
                <w:szCs w:val="24"/>
              </w:rPr>
              <w:t xml:space="preserve"> General Hospital</w:t>
            </w:r>
          </w:p>
        </w:tc>
        <w:tc>
          <w:tcPr>
            <w:tcW w:w="1722" w:type="dxa"/>
          </w:tcPr>
          <w:p w14:paraId="198CD5B2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Toxicology lab</w:t>
            </w:r>
          </w:p>
        </w:tc>
        <w:tc>
          <w:tcPr>
            <w:tcW w:w="2184" w:type="dxa"/>
          </w:tcPr>
          <w:p w14:paraId="4AEEC76F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Toxicology analyst</w:t>
            </w:r>
          </w:p>
        </w:tc>
        <w:tc>
          <w:tcPr>
            <w:tcW w:w="1727" w:type="dxa"/>
          </w:tcPr>
          <w:p w14:paraId="4565C8E3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676" w:type="dxa"/>
          </w:tcPr>
          <w:p w14:paraId="6CD884F4" w14:textId="77777777" w:rsidR="00807BF8" w:rsidRPr="00E67477" w:rsidRDefault="00807BF8" w:rsidP="00A917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Present</w:t>
            </w:r>
          </w:p>
        </w:tc>
      </w:tr>
      <w:tr w:rsidR="00807BF8" w:rsidRPr="00E67477" w14:paraId="770B1B2F" w14:textId="77777777" w:rsidTr="00A91736">
        <w:trPr>
          <w:trHeight w:val="226"/>
        </w:trPr>
        <w:tc>
          <w:tcPr>
            <w:tcW w:w="2898" w:type="dxa"/>
          </w:tcPr>
          <w:p w14:paraId="203C2416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477">
              <w:rPr>
                <w:rFonts w:asciiTheme="majorBidi" w:hAnsiTheme="majorBidi" w:cstheme="majorBidi"/>
                <w:sz w:val="24"/>
                <w:szCs w:val="24"/>
              </w:rPr>
              <w:t>Zagazig</w:t>
            </w:r>
            <w:proofErr w:type="spellEnd"/>
            <w:r w:rsidRPr="00E67477">
              <w:rPr>
                <w:rFonts w:asciiTheme="majorBidi" w:hAnsiTheme="majorBidi" w:cstheme="majorBidi"/>
                <w:sz w:val="24"/>
                <w:szCs w:val="24"/>
              </w:rPr>
              <w:t xml:space="preserve"> general hospital</w:t>
            </w:r>
          </w:p>
        </w:tc>
        <w:tc>
          <w:tcPr>
            <w:tcW w:w="1722" w:type="dxa"/>
          </w:tcPr>
          <w:p w14:paraId="3E412779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Blood bank</w:t>
            </w:r>
          </w:p>
        </w:tc>
        <w:tc>
          <w:tcPr>
            <w:tcW w:w="2184" w:type="dxa"/>
          </w:tcPr>
          <w:p w14:paraId="649431BC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Pharmacist</w:t>
            </w:r>
          </w:p>
        </w:tc>
        <w:tc>
          <w:tcPr>
            <w:tcW w:w="1727" w:type="dxa"/>
          </w:tcPr>
          <w:p w14:paraId="2444DEE7" w14:textId="77777777" w:rsidR="00807BF8" w:rsidRPr="00E67477" w:rsidRDefault="00807BF8" w:rsidP="00A91736">
            <w:pPr>
              <w:tabs>
                <w:tab w:val="left" w:pos="10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1676" w:type="dxa"/>
          </w:tcPr>
          <w:p w14:paraId="01280316" w14:textId="77777777" w:rsidR="00807BF8" w:rsidRPr="00E67477" w:rsidRDefault="00807BF8" w:rsidP="00A917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477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</w:tr>
    </w:tbl>
    <w:p w14:paraId="001EE320" w14:textId="77777777" w:rsidR="00807BF8" w:rsidRDefault="00807BF8" w:rsidP="00807BF8">
      <w:pPr>
        <w:tabs>
          <w:tab w:val="left" w:pos="1035"/>
        </w:tabs>
      </w:pPr>
    </w:p>
    <w:p w14:paraId="3BFBE3D2" w14:textId="77777777" w:rsidR="00807BF8" w:rsidRDefault="00807BF8" w:rsidP="00807BF8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</w:p>
    <w:p w14:paraId="495FB4AD" w14:textId="77777777" w:rsidR="003B57A8" w:rsidRDefault="003B57A8" w:rsidP="00807BF8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</w:p>
    <w:p w14:paraId="77A31A59" w14:textId="77777777" w:rsidR="00807BF8" w:rsidRPr="00E67477" w:rsidRDefault="00807BF8" w:rsidP="00807BF8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E67477">
        <w:rPr>
          <w:rFonts w:ascii="Algerian" w:hAnsi="Algerian"/>
          <w:b/>
          <w:bCs/>
          <w:i/>
          <w:iCs/>
          <w:sz w:val="26"/>
          <w:szCs w:val="26"/>
          <w:u w:val="single"/>
        </w:rPr>
        <w:lastRenderedPageBreak/>
        <w:t>Research/technical experience:-</w:t>
      </w:r>
    </w:p>
    <w:p w14:paraId="4736CFCD" w14:textId="77777777" w:rsidR="00807BF8" w:rsidRPr="00041719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i/>
          <w:iCs/>
        </w:rPr>
        <w:t>In-</w:t>
      </w:r>
      <w:r w:rsidRPr="00041719">
        <w:rPr>
          <w:i/>
          <w:iCs/>
        </w:rPr>
        <w:t>vivo</w:t>
      </w:r>
      <w:r>
        <w:rPr>
          <w:i/>
          <w:iCs/>
        </w:rPr>
        <w:t xml:space="preserve"> </w:t>
      </w:r>
      <w:r>
        <w:t>experimental studies in laboratory animals</w:t>
      </w:r>
    </w:p>
    <w:p w14:paraId="1CCED4E6" w14:textId="77777777" w:rsidR="00807BF8" w:rsidRPr="00041719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t>Quantitative drug screening</w:t>
      </w:r>
    </w:p>
    <w:p w14:paraId="45CA44D6" w14:textId="77777777" w:rsidR="00807BF8" w:rsidRPr="00041719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t>Histopathological examination</w:t>
      </w:r>
    </w:p>
    <w:p w14:paraId="7BBF91F1" w14:textId="77777777" w:rsidR="00807BF8" w:rsidRPr="00041719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t>HPLC (High Performance Liquid Chromatography)</w:t>
      </w:r>
    </w:p>
    <w:p w14:paraId="7F4EC056" w14:textId="77777777" w:rsidR="00807BF8" w:rsidRPr="00041719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t>UV spectrophotometry</w:t>
      </w:r>
    </w:p>
    <w:p w14:paraId="0B3591C4" w14:textId="77777777" w:rsidR="00807BF8" w:rsidRPr="00041719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t>Blood group cross-matching techniques (manual/ automated)</w:t>
      </w:r>
    </w:p>
    <w:p w14:paraId="2125BCAF" w14:textId="77777777" w:rsidR="00807BF8" w:rsidRPr="007B77F3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Hematological a</w:t>
      </w:r>
      <w:r w:rsidRPr="009678A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utomatic cell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counter for hematological studies</w:t>
      </w:r>
    </w:p>
    <w:p w14:paraId="3FC44D0E" w14:textId="77777777" w:rsidR="00807BF8" w:rsidRPr="007B77F3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Mycotoxin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fluorometer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8CCF6DD" w14:textId="77777777" w:rsidR="00807BF8" w:rsidRPr="00705661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Amino acid analyzer </w:t>
      </w:r>
    </w:p>
    <w:p w14:paraId="1A2761E4" w14:textId="77777777" w:rsidR="00807BF8" w:rsidRPr="002F0088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Atomic spectrophotometer</w:t>
      </w:r>
    </w:p>
    <w:p w14:paraId="73E326FD" w14:textId="77777777" w:rsidR="00807BF8" w:rsidRPr="00A66EC3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Electron microscopy</w:t>
      </w:r>
    </w:p>
    <w:p w14:paraId="6C5BBCD5" w14:textId="77777777" w:rsidR="00807BF8" w:rsidRPr="00A66EC3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Neurophysiology</w:t>
      </w:r>
    </w:p>
    <w:p w14:paraId="16681A36" w14:textId="77777777" w:rsidR="00807BF8" w:rsidRPr="00A66EC3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i/>
          <w:iCs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Animal </w:t>
      </w:r>
      <w:r w:rsidR="002655DF">
        <w:rPr>
          <w:rFonts w:asciiTheme="majorBidi" w:hAnsiTheme="majorBidi" w:cstheme="majorBidi"/>
          <w:color w:val="000000" w:themeColor="text1"/>
          <w:sz w:val="24"/>
          <w:szCs w:val="24"/>
        </w:rPr>
        <w:t>Handling</w:t>
      </w:r>
    </w:p>
    <w:p w14:paraId="32C25393" w14:textId="59F93C93" w:rsidR="00807BF8" w:rsidRDefault="00807BF8" w:rsidP="005F056A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>
        <w:rPr>
          <w:rFonts w:ascii="Algerian" w:hAnsi="Algerian"/>
          <w:b/>
          <w:bCs/>
          <w:i/>
          <w:iCs/>
          <w:sz w:val="26"/>
          <w:szCs w:val="26"/>
          <w:u w:val="single"/>
        </w:rPr>
        <w:t>Future research interest:</w:t>
      </w:r>
    </w:p>
    <w:p w14:paraId="640CEC97" w14:textId="77777777" w:rsidR="00807BF8" w:rsidRDefault="00807BF8" w:rsidP="00807BF8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Theme="majorBidi" w:hAnsiTheme="majorBidi" w:cstheme="majorBidi"/>
          <w:sz w:val="26"/>
          <w:szCs w:val="26"/>
        </w:rPr>
      </w:pPr>
      <w:r w:rsidRPr="00A66EC3">
        <w:rPr>
          <w:rFonts w:asciiTheme="majorBidi" w:hAnsiTheme="majorBidi" w:cstheme="majorBidi"/>
          <w:sz w:val="26"/>
          <w:szCs w:val="26"/>
        </w:rPr>
        <w:t>Neurophysiology, molecular biology, nerve electrolyte imaging</w:t>
      </w:r>
    </w:p>
    <w:p w14:paraId="4995CAEA" w14:textId="53AFC9A1" w:rsidR="005F056A" w:rsidRDefault="005F056A" w:rsidP="005F056A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>
        <w:rPr>
          <w:rFonts w:ascii="Algerian" w:hAnsi="Algerian"/>
          <w:b/>
          <w:bCs/>
          <w:i/>
          <w:iCs/>
          <w:sz w:val="26"/>
          <w:szCs w:val="26"/>
          <w:u w:val="single"/>
        </w:rPr>
        <w:t>Skills</w:t>
      </w:r>
      <w:r>
        <w:rPr>
          <w:rFonts w:ascii="Algerian" w:hAnsi="Algerian"/>
          <w:b/>
          <w:bCs/>
          <w:i/>
          <w:iCs/>
          <w:sz w:val="26"/>
          <w:szCs w:val="26"/>
          <w:u w:val="single"/>
        </w:rPr>
        <w:t>:</w:t>
      </w:r>
    </w:p>
    <w:p w14:paraId="3EA4CF41" w14:textId="004DD98A" w:rsidR="005F056A" w:rsidRPr="005F056A" w:rsidRDefault="005F056A" w:rsidP="005F056A">
      <w:pPr>
        <w:tabs>
          <w:tab w:val="left" w:pos="103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Medical translation from English to Arabic</w:t>
      </w:r>
      <w:bookmarkStart w:id="0" w:name="_GoBack"/>
      <w:bookmarkEnd w:id="0"/>
      <w:r>
        <w:rPr>
          <w:rFonts w:asciiTheme="majorBidi" w:hAnsiTheme="majorBidi" w:cstheme="majorBidi"/>
          <w:sz w:val="26"/>
          <w:szCs w:val="26"/>
        </w:rPr>
        <w:t>, Editing</w:t>
      </w:r>
    </w:p>
    <w:p w14:paraId="5EDD53EA" w14:textId="77777777" w:rsidR="009E065C" w:rsidRDefault="00807BF8" w:rsidP="009E065C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E67477">
        <w:rPr>
          <w:rFonts w:ascii="Algerian" w:hAnsi="Algerian"/>
          <w:b/>
          <w:bCs/>
          <w:i/>
          <w:iCs/>
          <w:sz w:val="26"/>
          <w:szCs w:val="26"/>
          <w:u w:val="single"/>
        </w:rPr>
        <w:t>Awards:</w:t>
      </w:r>
      <w:r>
        <w:rPr>
          <w:rFonts w:ascii="Algerian" w:hAnsi="Algerian"/>
          <w:b/>
          <w:bCs/>
          <w:i/>
          <w:iCs/>
          <w:sz w:val="26"/>
          <w:szCs w:val="26"/>
          <w:u w:val="single"/>
        </w:rPr>
        <w:t>-</w:t>
      </w:r>
    </w:p>
    <w:p w14:paraId="6BE929E5" w14:textId="0B2926C5" w:rsidR="00807BF8" w:rsidRDefault="00807BF8" w:rsidP="009E065C">
      <w:pPr>
        <w:tabs>
          <w:tab w:val="left" w:pos="1035"/>
        </w:tabs>
        <w:ind w:firstLine="105"/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 “</w:t>
      </w:r>
      <w:r w:rsidRPr="00807BF8">
        <w:rPr>
          <w:rFonts w:asciiTheme="majorBidi" w:hAnsiTheme="majorBidi" w:cstheme="majorBidi"/>
          <w:b/>
          <w:bCs/>
          <w:i/>
          <w:iCs/>
          <w:sz w:val="24"/>
          <w:szCs w:val="24"/>
        </w:rPr>
        <w:t>The ideal pharmacist</w:t>
      </w:r>
      <w:r w:rsidRPr="00807BF8">
        <w:rPr>
          <w:rFonts w:asciiTheme="majorBidi" w:hAnsiTheme="majorBidi" w:cstheme="majorBidi"/>
          <w:sz w:val="24"/>
          <w:szCs w:val="24"/>
        </w:rPr>
        <w:t xml:space="preserve">” </w:t>
      </w:r>
      <w:r w:rsidR="005F056A">
        <w:rPr>
          <w:rFonts w:asciiTheme="majorBidi" w:hAnsiTheme="majorBidi" w:cstheme="majorBidi"/>
          <w:sz w:val="24"/>
          <w:szCs w:val="24"/>
        </w:rPr>
        <w:t xml:space="preserve">price </w:t>
      </w:r>
      <w:r w:rsidRPr="00807BF8">
        <w:rPr>
          <w:rFonts w:asciiTheme="majorBidi" w:hAnsiTheme="majorBidi" w:cstheme="majorBidi"/>
          <w:sz w:val="24"/>
          <w:szCs w:val="24"/>
        </w:rPr>
        <w:t xml:space="preserve">from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Sharkia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govern</w:t>
      </w:r>
      <w:r w:rsidR="009E065C">
        <w:rPr>
          <w:rFonts w:asciiTheme="majorBidi" w:hAnsiTheme="majorBidi" w:cstheme="majorBidi"/>
          <w:sz w:val="24"/>
          <w:szCs w:val="24"/>
        </w:rPr>
        <w:t>orate syndicate for pharmacists 2018</w:t>
      </w:r>
    </w:p>
    <w:p w14:paraId="6AF939FD" w14:textId="3EB35197" w:rsidR="009E065C" w:rsidRPr="009E065C" w:rsidRDefault="009E065C" w:rsidP="009E065C">
      <w:pPr>
        <w:tabs>
          <w:tab w:val="left" w:pos="103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807BF8">
        <w:rPr>
          <w:rFonts w:asciiTheme="majorBidi" w:hAnsiTheme="majorBidi" w:cstheme="majorBidi"/>
          <w:sz w:val="24"/>
          <w:szCs w:val="24"/>
        </w:rPr>
        <w:t>“</w:t>
      </w:r>
      <w:r w:rsidRPr="00807BF8">
        <w:rPr>
          <w:rFonts w:asciiTheme="majorBidi" w:hAnsiTheme="majorBidi" w:cstheme="majorBidi"/>
          <w:b/>
          <w:bCs/>
          <w:i/>
          <w:iCs/>
          <w:sz w:val="24"/>
          <w:szCs w:val="24"/>
        </w:rPr>
        <w:t>The ideal pharmacist</w:t>
      </w:r>
      <w:r w:rsidRPr="00807BF8">
        <w:rPr>
          <w:rFonts w:asciiTheme="majorBidi" w:hAnsiTheme="majorBidi" w:cstheme="majorBidi"/>
          <w:sz w:val="24"/>
          <w:szCs w:val="24"/>
        </w:rPr>
        <w:t xml:space="preserve">” </w:t>
      </w:r>
      <w:r w:rsidR="005F056A">
        <w:rPr>
          <w:rFonts w:asciiTheme="majorBidi" w:hAnsiTheme="majorBidi" w:cstheme="majorBidi"/>
          <w:sz w:val="24"/>
          <w:szCs w:val="24"/>
        </w:rPr>
        <w:t xml:space="preserve">price </w:t>
      </w:r>
      <w:r w:rsidRPr="00807BF8">
        <w:rPr>
          <w:rFonts w:asciiTheme="majorBidi" w:hAnsiTheme="majorBidi" w:cstheme="majorBidi"/>
          <w:sz w:val="24"/>
          <w:szCs w:val="24"/>
        </w:rPr>
        <w:t xml:space="preserve">from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Sharkia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govern</w:t>
      </w:r>
      <w:r>
        <w:rPr>
          <w:rFonts w:asciiTheme="majorBidi" w:hAnsiTheme="majorBidi" w:cstheme="majorBidi"/>
          <w:sz w:val="24"/>
          <w:szCs w:val="24"/>
        </w:rPr>
        <w:t>orate syndicate for pharmacists 2019</w:t>
      </w:r>
    </w:p>
    <w:p w14:paraId="76328C3A" w14:textId="77777777" w:rsidR="00807BF8" w:rsidRPr="00E67477" w:rsidRDefault="00807BF8" w:rsidP="00807BF8">
      <w:pPr>
        <w:tabs>
          <w:tab w:val="left" w:pos="226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E67477">
        <w:rPr>
          <w:rFonts w:ascii="Algerian" w:hAnsi="Algerian"/>
          <w:b/>
          <w:bCs/>
          <w:i/>
          <w:iCs/>
          <w:sz w:val="26"/>
          <w:szCs w:val="26"/>
          <w:u w:val="single"/>
        </w:rPr>
        <w:t>Courses attended:</w:t>
      </w:r>
      <w:r>
        <w:rPr>
          <w:rFonts w:ascii="Algerian" w:hAnsi="Algerian"/>
          <w:b/>
          <w:bCs/>
          <w:i/>
          <w:iCs/>
          <w:sz w:val="26"/>
          <w:szCs w:val="26"/>
          <w:u w:val="single"/>
        </w:rPr>
        <w:t>-</w:t>
      </w:r>
    </w:p>
    <w:p w14:paraId="0C3A8DE0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ICDL,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University, 2014</w:t>
      </w:r>
    </w:p>
    <w:p w14:paraId="3D618724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SPSS,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University, 2014</w:t>
      </w:r>
    </w:p>
    <w:p w14:paraId="618A55D4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HPLC specialist,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University, 2014</w:t>
      </w:r>
    </w:p>
    <w:p w14:paraId="130B997C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Plagiarism,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University, 2018</w:t>
      </w:r>
    </w:p>
    <w:p w14:paraId="3F0BDA00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Drug information,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Sharkia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governorate syndicate for pharmacists, 2017</w:t>
      </w:r>
    </w:p>
    <w:p w14:paraId="44B7156E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TOEFL,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University, 2018</w:t>
      </w:r>
    </w:p>
    <w:p w14:paraId="3EBDF839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sz w:val="24"/>
          <w:szCs w:val="24"/>
        </w:rPr>
        <w:t xml:space="preserve">Infection control, </w:t>
      </w:r>
      <w:proofErr w:type="spellStart"/>
      <w:r w:rsidRPr="00807BF8">
        <w:rPr>
          <w:rFonts w:asciiTheme="majorBidi" w:hAnsiTheme="majorBidi" w:cstheme="majorBidi"/>
          <w:sz w:val="24"/>
          <w:szCs w:val="24"/>
        </w:rPr>
        <w:t>Zagazig</w:t>
      </w:r>
      <w:proofErr w:type="spellEnd"/>
      <w:r w:rsidRPr="00807BF8">
        <w:rPr>
          <w:rFonts w:asciiTheme="majorBidi" w:hAnsiTheme="majorBidi" w:cstheme="majorBidi"/>
          <w:sz w:val="24"/>
          <w:szCs w:val="24"/>
        </w:rPr>
        <w:t xml:space="preserve"> General Hospital, 2019</w:t>
      </w:r>
    </w:p>
    <w:p w14:paraId="4CE40257" w14:textId="77777777" w:rsidR="005F056A" w:rsidRDefault="005F056A" w:rsidP="00807BF8">
      <w:pPr>
        <w:tabs>
          <w:tab w:val="left" w:pos="226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</w:p>
    <w:p w14:paraId="623AB26C" w14:textId="77777777" w:rsidR="005F056A" w:rsidRDefault="005F056A" w:rsidP="00807BF8">
      <w:pPr>
        <w:tabs>
          <w:tab w:val="left" w:pos="226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</w:p>
    <w:p w14:paraId="18E885B1" w14:textId="77777777" w:rsidR="00807BF8" w:rsidRPr="00580ABD" w:rsidRDefault="00807BF8" w:rsidP="00807BF8">
      <w:pPr>
        <w:tabs>
          <w:tab w:val="left" w:pos="226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580ABD">
        <w:rPr>
          <w:rFonts w:ascii="Algerian" w:hAnsi="Algerian"/>
          <w:b/>
          <w:bCs/>
          <w:i/>
          <w:iCs/>
          <w:sz w:val="26"/>
          <w:szCs w:val="26"/>
          <w:u w:val="single"/>
        </w:rPr>
        <w:t>Conference participation:</w:t>
      </w:r>
    </w:p>
    <w:p w14:paraId="2B5D88C1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b/>
          <w:bCs/>
          <w:i/>
          <w:iCs/>
          <w:sz w:val="24"/>
          <w:szCs w:val="24"/>
        </w:rPr>
        <w:t>Oral speaker,</w:t>
      </w:r>
      <w:r w:rsidRPr="00807BF8">
        <w:rPr>
          <w:rFonts w:asciiTheme="majorBidi" w:hAnsiTheme="majorBidi" w:cstheme="majorBidi"/>
          <w:sz w:val="24"/>
          <w:szCs w:val="24"/>
        </w:rPr>
        <w:t xml:space="preserve"> 4</w:t>
      </w:r>
      <w:r w:rsidRPr="00807BF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07BF8">
        <w:rPr>
          <w:rFonts w:asciiTheme="majorBidi" w:hAnsiTheme="majorBidi" w:cstheme="majorBidi"/>
          <w:sz w:val="24"/>
          <w:szCs w:val="24"/>
        </w:rPr>
        <w:t xml:space="preserve"> International conference of pharmacy and pharmaceutical sciences, Meiji University</w:t>
      </w:r>
      <w:r w:rsidRPr="00807BF8">
        <w:rPr>
          <w:rFonts w:asciiTheme="majorBidi" w:hAnsiTheme="majorBidi" w:cstheme="majorBidi"/>
          <w:b/>
          <w:bCs/>
          <w:sz w:val="24"/>
          <w:szCs w:val="24"/>
        </w:rPr>
        <w:t>, Tokyo, Japan</w:t>
      </w:r>
      <w:r w:rsidRPr="00807BF8">
        <w:rPr>
          <w:rFonts w:asciiTheme="majorBidi" w:hAnsiTheme="majorBidi" w:cstheme="majorBidi"/>
          <w:sz w:val="24"/>
          <w:szCs w:val="24"/>
        </w:rPr>
        <w:t>, 28</w:t>
      </w:r>
      <w:r w:rsidRPr="00807BF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07BF8">
        <w:rPr>
          <w:rFonts w:asciiTheme="majorBidi" w:hAnsiTheme="majorBidi" w:cstheme="majorBidi"/>
          <w:sz w:val="24"/>
          <w:szCs w:val="24"/>
        </w:rPr>
        <w:t xml:space="preserve"> to 30</w:t>
      </w:r>
      <w:r w:rsidRPr="00807BF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807BF8">
        <w:rPr>
          <w:rFonts w:asciiTheme="majorBidi" w:hAnsiTheme="majorBidi" w:cstheme="majorBidi"/>
          <w:sz w:val="24"/>
          <w:szCs w:val="24"/>
        </w:rPr>
        <w:t xml:space="preserve"> of March 2019</w:t>
      </w:r>
    </w:p>
    <w:p w14:paraId="3E542975" w14:textId="77777777" w:rsidR="00807BF8" w:rsidRPr="00807BF8" w:rsidRDefault="00807BF8" w:rsidP="00807BF8">
      <w:pPr>
        <w:pStyle w:val="ListParagraph"/>
        <w:numPr>
          <w:ilvl w:val="0"/>
          <w:numId w:val="1"/>
        </w:numPr>
        <w:tabs>
          <w:tab w:val="left" w:pos="2265"/>
        </w:tabs>
        <w:rPr>
          <w:rFonts w:asciiTheme="majorBidi" w:hAnsiTheme="majorBidi" w:cstheme="majorBidi"/>
          <w:sz w:val="24"/>
          <w:szCs w:val="24"/>
        </w:rPr>
      </w:pPr>
      <w:r w:rsidRPr="00807BF8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Listener,</w:t>
      </w:r>
      <w:r w:rsidRPr="00807B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11</w:t>
      </w:r>
      <w:r w:rsidRPr="00807BF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Pr="00807B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Scientific Vet. Med. Conference (2</w:t>
      </w:r>
      <w:r w:rsidRPr="00807BF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nd</w:t>
      </w:r>
      <w:r w:rsidRPr="00807BF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international), Ain-</w:t>
      </w:r>
      <w:proofErr w:type="spellStart"/>
      <w:r w:rsidRPr="00807BF8">
        <w:rPr>
          <w:rFonts w:asciiTheme="majorBidi" w:hAnsiTheme="majorBidi" w:cstheme="majorBidi"/>
          <w:color w:val="000000" w:themeColor="text1"/>
          <w:sz w:val="24"/>
          <w:szCs w:val="24"/>
        </w:rPr>
        <w:t>Sokhna</w:t>
      </w:r>
      <w:proofErr w:type="spellEnd"/>
      <w:r w:rsidRPr="00807BF8">
        <w:rPr>
          <w:rFonts w:asciiTheme="majorBidi" w:hAnsiTheme="majorBidi" w:cstheme="majorBidi"/>
          <w:color w:val="000000" w:themeColor="text1"/>
          <w:sz w:val="24"/>
          <w:szCs w:val="24"/>
        </w:rPr>
        <w:t>, Egypt from 15 to 17 March, 2016</w:t>
      </w:r>
    </w:p>
    <w:p w14:paraId="3DC74313" w14:textId="77777777" w:rsidR="00807BF8" w:rsidRPr="00BE39CE" w:rsidRDefault="00807BF8" w:rsidP="00807BF8">
      <w:pPr>
        <w:tabs>
          <w:tab w:val="left" w:pos="2265"/>
        </w:tabs>
        <w:rPr>
          <w:rFonts w:ascii="Algerian" w:hAnsi="Algerian"/>
          <w:b/>
          <w:bCs/>
          <w:i/>
          <w:iCs/>
          <w:sz w:val="26"/>
          <w:szCs w:val="26"/>
          <w:u w:val="single"/>
        </w:rPr>
      </w:pPr>
      <w:r w:rsidRPr="00BE39CE">
        <w:rPr>
          <w:rFonts w:ascii="Algerian" w:hAnsi="Algerian"/>
          <w:b/>
          <w:bCs/>
          <w:i/>
          <w:iCs/>
          <w:sz w:val="26"/>
          <w:szCs w:val="26"/>
          <w:u w:val="single"/>
        </w:rPr>
        <w:t>References:</w:t>
      </w:r>
    </w:p>
    <w:p w14:paraId="2064F404" w14:textId="77777777" w:rsidR="00807BF8" w:rsidRPr="00BE39CE" w:rsidRDefault="00807BF8" w:rsidP="00807BF8">
      <w:pPr>
        <w:tabs>
          <w:tab w:val="num" w:pos="2520"/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Prof Dr. Sayed Abdel-Aziz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Professor of Pharmacology, Faculty of Veterinary Medicine, </w:t>
      </w:r>
      <w:proofErr w:type="spellStart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Zagazig</w:t>
      </w:r>
      <w:proofErr w:type="spellEnd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 (Principal Supervisor). Mobile: </w:t>
      </w:r>
      <w:r w:rsidR="00F9542C">
        <w:rPr>
          <w:rFonts w:asciiTheme="majorBidi" w:hAnsiTheme="majorBidi" w:cstheme="majorBidi"/>
          <w:color w:val="000000" w:themeColor="text1"/>
          <w:sz w:val="24"/>
          <w:szCs w:val="24"/>
        </w:rPr>
        <w:t>002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01066888151.</w:t>
      </w:r>
    </w:p>
    <w:p w14:paraId="5BF1F533" w14:textId="77777777" w:rsidR="00807BF8" w:rsidRPr="00BE39CE" w:rsidRDefault="00807BF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C5884C2" w14:textId="77777777" w:rsidR="00807BF8" w:rsidRPr="00BE39CE" w:rsidRDefault="00807BF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Prof. Dr. </w:t>
      </w:r>
      <w:proofErr w:type="spellStart"/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Sameh</w:t>
      </w:r>
      <w:proofErr w:type="spellEnd"/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Al-</w:t>
      </w:r>
      <w:proofErr w:type="spellStart"/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Nabtity</w:t>
      </w:r>
      <w:proofErr w:type="spellEnd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Professor of Pharmacology, Faculty of Veterinary Medicine, </w:t>
      </w:r>
      <w:proofErr w:type="spellStart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Zagazig</w:t>
      </w:r>
      <w:proofErr w:type="spellEnd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 (Co-Supervisor). Mobile: </w:t>
      </w:r>
      <w:r w:rsidR="00F9542C">
        <w:rPr>
          <w:rFonts w:asciiTheme="majorBidi" w:hAnsiTheme="majorBidi" w:cstheme="majorBidi"/>
          <w:color w:val="000000" w:themeColor="text1"/>
          <w:sz w:val="24"/>
          <w:szCs w:val="24"/>
        </w:rPr>
        <w:t>002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012276735692.</w:t>
      </w:r>
    </w:p>
    <w:p w14:paraId="1AEA0183" w14:textId="77777777" w:rsidR="00807BF8" w:rsidRPr="00BE39CE" w:rsidRDefault="00807BF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48BBF5" w14:textId="77777777" w:rsidR="00807BF8" w:rsidRPr="00BE39CE" w:rsidRDefault="00807BF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Prof. Dr. Gamal Shams, 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Professor of Pharmacology, Faculty of Veterinary Medicine, </w:t>
      </w:r>
      <w:proofErr w:type="spellStart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Zagazig</w:t>
      </w:r>
      <w:proofErr w:type="spellEnd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 (Co-Supervisor). </w:t>
      </w:r>
      <w:r w:rsidR="00F9542C">
        <w:rPr>
          <w:rFonts w:asciiTheme="majorBidi" w:hAnsiTheme="majorBidi" w:cstheme="majorBidi"/>
          <w:color w:val="000000" w:themeColor="text1"/>
          <w:sz w:val="24"/>
          <w:szCs w:val="24"/>
        </w:rPr>
        <w:t>002</w:t>
      </w:r>
      <w:r w:rsidR="002428BC">
        <w:rPr>
          <w:rFonts w:asciiTheme="majorBidi" w:hAnsiTheme="majorBidi" w:cstheme="majorBidi"/>
          <w:color w:val="000000" w:themeColor="text1"/>
          <w:sz w:val="24"/>
          <w:szCs w:val="24"/>
        </w:rPr>
        <w:t>01120747888</w:t>
      </w:r>
    </w:p>
    <w:p w14:paraId="675F76C6" w14:textId="77777777" w:rsidR="00807BF8" w:rsidRPr="00BE39CE" w:rsidRDefault="00807BF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45C82CA" w14:textId="77777777" w:rsidR="00807BF8" w:rsidRPr="00BE39CE" w:rsidRDefault="00807BF8" w:rsidP="00807BF8">
      <w:pPr>
        <w:tabs>
          <w:tab w:val="num" w:pos="2520"/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Prof Dr. </w:t>
      </w:r>
      <w:proofErr w:type="spellStart"/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Moustafa</w:t>
      </w:r>
      <w:proofErr w:type="spellEnd"/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Abdel Aziz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Professor of Pharmacology, Faculty of Veterinary Medicine, </w:t>
      </w:r>
      <w:proofErr w:type="spellStart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Kafr</w:t>
      </w:r>
      <w:proofErr w:type="spellEnd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El- Sheikh University (examiner). Mobile: </w:t>
      </w:r>
      <w:r w:rsidR="00F9542C">
        <w:rPr>
          <w:rFonts w:asciiTheme="majorBidi" w:hAnsiTheme="majorBidi" w:cstheme="majorBidi"/>
          <w:color w:val="000000" w:themeColor="text1"/>
          <w:sz w:val="24"/>
          <w:szCs w:val="24"/>
        </w:rPr>
        <w:t>002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01223659388</w:t>
      </w:r>
    </w:p>
    <w:p w14:paraId="7C1258B2" w14:textId="77777777" w:rsidR="00807BF8" w:rsidRPr="00BE39CE" w:rsidRDefault="00807BF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6E19248" w14:textId="77777777" w:rsidR="00807BF8" w:rsidRDefault="00807BF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Prof Dr. </w:t>
      </w:r>
      <w:proofErr w:type="spellStart"/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Sawsan</w:t>
      </w:r>
      <w:proofErr w:type="spellEnd"/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El- Sheikh: 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Professor of Pharmacology, Faculty of Veterinary Medicine, </w:t>
      </w:r>
      <w:proofErr w:type="spellStart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Zagazig</w:t>
      </w:r>
      <w:proofErr w:type="spellEnd"/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 (examiner). Mobile: </w:t>
      </w:r>
      <w:r w:rsidR="00F9542C">
        <w:rPr>
          <w:rFonts w:asciiTheme="majorBidi" w:hAnsiTheme="majorBidi" w:cstheme="majorBidi"/>
          <w:color w:val="000000" w:themeColor="text1"/>
          <w:sz w:val="24"/>
          <w:szCs w:val="24"/>
        </w:rPr>
        <w:t>002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01003143576.</w:t>
      </w:r>
    </w:p>
    <w:p w14:paraId="76B5CA77" w14:textId="77777777" w:rsidR="003B57A8" w:rsidRDefault="003B57A8" w:rsidP="00807BF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725302A" w14:textId="77777777" w:rsidR="003B57A8" w:rsidRPr="003B57A8" w:rsidRDefault="003B57A8" w:rsidP="003B57A8">
      <w:pPr>
        <w:tabs>
          <w:tab w:val="left" w:pos="4200"/>
        </w:tabs>
        <w:spacing w:after="0" w:line="240" w:lineRule="auto"/>
        <w:ind w:right="180"/>
        <w:jc w:val="lowKashida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Prof Dr.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Mohamed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Ihab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Fettouh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Professor of Pharmaceutics and Dean C</w:t>
      </w:r>
      <w:r w:rsidRPr="003B57A8">
        <w:rPr>
          <w:rFonts w:asciiTheme="majorBidi" w:hAnsiTheme="majorBidi" w:cstheme="majorBidi"/>
          <w:color w:val="000000" w:themeColor="text1"/>
          <w:sz w:val="24"/>
          <w:szCs w:val="24"/>
        </w:rPr>
        <w:t>ollege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Pharmacy, Egyptian Russian University (examiner). </w:t>
      </w:r>
      <w:r w:rsidRPr="00BE39CE">
        <w:rPr>
          <w:rFonts w:asciiTheme="majorBidi" w:hAnsiTheme="majorBidi" w:cstheme="majorBidi"/>
          <w:color w:val="000000" w:themeColor="text1"/>
          <w:sz w:val="24"/>
          <w:szCs w:val="24"/>
        </w:rPr>
        <w:t>Mobile: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9542C">
        <w:rPr>
          <w:rFonts w:asciiTheme="majorBidi" w:hAnsiTheme="majorBidi" w:cstheme="majorBidi"/>
          <w:color w:val="000000" w:themeColor="text1"/>
          <w:sz w:val="24"/>
          <w:szCs w:val="24"/>
        </w:rPr>
        <w:t>002</w:t>
      </w:r>
      <w:r w:rsidR="002428BC">
        <w:rPr>
          <w:rFonts w:asciiTheme="majorBidi" w:hAnsiTheme="majorBidi" w:cstheme="majorBidi"/>
          <w:color w:val="000000" w:themeColor="text1"/>
          <w:sz w:val="24"/>
          <w:szCs w:val="24"/>
        </w:rPr>
        <w:t>01222287248</w:t>
      </w:r>
    </w:p>
    <w:p w14:paraId="28B59BB1" w14:textId="77777777" w:rsidR="00807BF8" w:rsidRDefault="00807BF8" w:rsidP="00807BF8">
      <w:pPr>
        <w:tabs>
          <w:tab w:val="left" w:pos="2265"/>
        </w:tabs>
        <w:rPr>
          <w:rFonts w:ascii="Algerian" w:hAnsi="Algerian"/>
          <w:b/>
          <w:bCs/>
          <w:i/>
          <w:iCs/>
          <w:sz w:val="26"/>
          <w:szCs w:val="26"/>
        </w:rPr>
      </w:pPr>
    </w:p>
    <w:p w14:paraId="5A22A65F" w14:textId="77777777" w:rsidR="00807BF8" w:rsidRPr="00580ABD" w:rsidRDefault="00807BF8" w:rsidP="00807BF8">
      <w:pPr>
        <w:tabs>
          <w:tab w:val="left" w:pos="2265"/>
        </w:tabs>
        <w:rPr>
          <w:rFonts w:ascii="Algerian" w:hAnsi="Algerian"/>
          <w:sz w:val="26"/>
          <w:szCs w:val="26"/>
        </w:rPr>
      </w:pPr>
      <w:r w:rsidRPr="00580ABD">
        <w:rPr>
          <w:rFonts w:ascii="Algerian" w:hAnsi="Algerian"/>
          <w:b/>
          <w:bCs/>
          <w:i/>
          <w:iCs/>
          <w:sz w:val="26"/>
          <w:szCs w:val="26"/>
        </w:rPr>
        <w:t>List of publication:-</w:t>
      </w:r>
    </w:p>
    <w:p w14:paraId="7E5578E1" w14:textId="77777777" w:rsidR="00807BF8" w:rsidRPr="007B77F3" w:rsidRDefault="00807BF8" w:rsidP="00807BF8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B77F3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</w:rPr>
        <w:t>Mahmoud A. Said,</w:t>
      </w:r>
      <w:r w:rsidRPr="007B77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Abdel Aziz S.A, and </w:t>
      </w:r>
      <w:proofErr w:type="spellStart"/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>Sameh</w:t>
      </w:r>
      <w:proofErr w:type="spellEnd"/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 El- </w:t>
      </w:r>
      <w:proofErr w:type="spellStart"/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>nabtity</w:t>
      </w:r>
      <w:proofErr w:type="spellEnd"/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(2019):</w:t>
      </w:r>
      <w:r w:rsidRPr="007B77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Ameliorative effect of Phoenix </w:t>
      </w:r>
      <w:proofErr w:type="spellStart"/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>dactylifera</w:t>
      </w:r>
      <w:proofErr w:type="spellEnd"/>
      <w:r w:rsidRPr="007B7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adverse effects of Linezolid in rats. International Journal of App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lied Pharmaceutics. 11(5) p.1-5</w:t>
      </w:r>
    </w:p>
    <w:p w14:paraId="300B3EEF" w14:textId="77777777" w:rsidR="00807BF8" w:rsidRPr="007B77F3" w:rsidRDefault="00807BF8" w:rsidP="00807BF8">
      <w:pPr>
        <w:rPr>
          <w:rFonts w:asciiTheme="majorBidi" w:hAnsiTheme="majorBidi" w:cstheme="majorBidi"/>
          <w:sz w:val="24"/>
          <w:szCs w:val="24"/>
        </w:rPr>
      </w:pPr>
      <w:r w:rsidRPr="007B77F3">
        <w:rPr>
          <w:rFonts w:asciiTheme="majorBidi" w:hAnsiTheme="majorBidi" w:cstheme="majorBidi"/>
          <w:b/>
          <w:bCs/>
          <w:sz w:val="24"/>
          <w:szCs w:val="24"/>
          <w:u w:val="single"/>
        </w:rPr>
        <w:t>Mahmoud A. Said*,</w:t>
      </w:r>
      <w:r w:rsidRPr="007B77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77F3">
        <w:rPr>
          <w:rFonts w:asciiTheme="majorBidi" w:hAnsiTheme="majorBidi" w:cstheme="majorBidi"/>
          <w:sz w:val="24"/>
          <w:szCs w:val="24"/>
        </w:rPr>
        <w:t xml:space="preserve">Ahmed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Sabry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 S.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Abdoon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, Said A. Aziz, Shams G,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Sameh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 M.</w:t>
      </w:r>
      <w:r w:rsidRPr="007B77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Elnabtity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>. (2019):</w:t>
      </w:r>
      <w:r w:rsidRPr="007B77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77F3">
        <w:rPr>
          <w:rFonts w:asciiTheme="majorBidi" w:hAnsiTheme="majorBidi" w:cstheme="majorBidi"/>
          <w:sz w:val="24"/>
          <w:szCs w:val="24"/>
        </w:rPr>
        <w:t xml:space="preserve">“Acute and chronic hematological study of gold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nanorods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 in rats</w:t>
      </w:r>
      <w:r>
        <w:rPr>
          <w:rFonts w:asciiTheme="majorBidi" w:hAnsiTheme="majorBidi" w:cstheme="majorBidi"/>
          <w:sz w:val="24"/>
          <w:szCs w:val="24"/>
        </w:rPr>
        <w:t>”. RPBCS 10 (1)</w:t>
      </w:r>
    </w:p>
    <w:p w14:paraId="3A7A1F95" w14:textId="77777777" w:rsidR="00807BF8" w:rsidRPr="007B77F3" w:rsidRDefault="00807BF8" w:rsidP="00807BF8">
      <w:pPr>
        <w:rPr>
          <w:rFonts w:asciiTheme="majorBidi" w:hAnsiTheme="majorBidi" w:cstheme="majorBidi"/>
          <w:sz w:val="24"/>
          <w:szCs w:val="24"/>
        </w:rPr>
      </w:pPr>
      <w:r w:rsidRPr="007B77F3">
        <w:rPr>
          <w:rFonts w:asciiTheme="majorBidi" w:hAnsiTheme="majorBidi" w:cstheme="majorBidi"/>
          <w:b/>
          <w:bCs/>
          <w:sz w:val="24"/>
          <w:szCs w:val="24"/>
          <w:u w:val="single"/>
        </w:rPr>
        <w:t>Mahmoud A. Said*,</w:t>
      </w:r>
      <w:r w:rsidRPr="007B77F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77F3">
        <w:rPr>
          <w:rFonts w:asciiTheme="majorBidi" w:hAnsiTheme="majorBidi" w:cstheme="majorBidi"/>
          <w:sz w:val="24"/>
          <w:szCs w:val="24"/>
        </w:rPr>
        <w:t xml:space="preserve">Ahmed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Sabry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 S.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Abdoon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, Said A. Aziz, Shams G,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Sameh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Elnabtity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. (2019): Prostatic histopathologic and electron microscopic changes following intraperitoneal injection of gold </w:t>
      </w:r>
      <w:proofErr w:type="spellStart"/>
      <w:r w:rsidRPr="007B77F3">
        <w:rPr>
          <w:rFonts w:asciiTheme="majorBidi" w:hAnsiTheme="majorBidi" w:cstheme="majorBidi"/>
          <w:sz w:val="24"/>
          <w:szCs w:val="24"/>
        </w:rPr>
        <w:t>nanorods</w:t>
      </w:r>
      <w:proofErr w:type="spellEnd"/>
      <w:r w:rsidRPr="007B77F3">
        <w:rPr>
          <w:rFonts w:asciiTheme="majorBidi" w:hAnsiTheme="majorBidi" w:cstheme="majorBidi"/>
          <w:sz w:val="24"/>
          <w:szCs w:val="24"/>
        </w:rPr>
        <w:t xml:space="preserve"> to male albino rats. International Journal of Pharmaceutical Research and Allied Sciences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4B55">
        <w:rPr>
          <w:rFonts w:asciiTheme="majorBidi" w:hAnsiTheme="majorBidi" w:cstheme="majorBidi"/>
          <w:sz w:val="24"/>
          <w:szCs w:val="24"/>
        </w:rPr>
        <w:t>8</w:t>
      </w:r>
      <w:r w:rsidR="009373D8">
        <w:rPr>
          <w:rFonts w:asciiTheme="majorBidi" w:hAnsiTheme="majorBidi" w:cstheme="majorBidi"/>
          <w:sz w:val="24"/>
          <w:szCs w:val="24"/>
        </w:rPr>
        <w:t xml:space="preserve"> </w:t>
      </w:r>
      <w:r w:rsidRPr="00CD4B55">
        <w:rPr>
          <w:rFonts w:asciiTheme="majorBidi" w:hAnsiTheme="majorBidi" w:cstheme="majorBidi"/>
          <w:sz w:val="24"/>
          <w:szCs w:val="24"/>
        </w:rPr>
        <w:t>(3)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A1A58EA" w14:textId="5144FB0C" w:rsidR="00807BF8" w:rsidRPr="00E40A45" w:rsidRDefault="00807BF8" w:rsidP="003A02C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40A45">
        <w:rPr>
          <w:rFonts w:asciiTheme="majorBidi" w:hAnsiTheme="majorBidi" w:cstheme="majorBidi"/>
          <w:b/>
          <w:bCs/>
          <w:sz w:val="24"/>
          <w:szCs w:val="24"/>
          <w:u w:val="single"/>
        </w:rPr>
        <w:t>Mahmoud A. Said*,</w:t>
      </w:r>
      <w:r w:rsidRPr="00E40A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0A45">
        <w:rPr>
          <w:rFonts w:asciiTheme="majorBidi" w:hAnsiTheme="majorBidi" w:cstheme="majorBidi"/>
          <w:sz w:val="24"/>
          <w:szCs w:val="24"/>
        </w:rPr>
        <w:t xml:space="preserve">Ahmed </w:t>
      </w:r>
      <w:proofErr w:type="spellStart"/>
      <w:r w:rsidRPr="00E40A45">
        <w:rPr>
          <w:rFonts w:asciiTheme="majorBidi" w:hAnsiTheme="majorBidi" w:cstheme="majorBidi"/>
          <w:sz w:val="24"/>
          <w:szCs w:val="24"/>
        </w:rPr>
        <w:t>Sabry</w:t>
      </w:r>
      <w:proofErr w:type="spellEnd"/>
      <w:r w:rsidRPr="00E40A45">
        <w:rPr>
          <w:rFonts w:asciiTheme="majorBidi" w:hAnsiTheme="majorBidi" w:cstheme="majorBidi"/>
          <w:sz w:val="24"/>
          <w:szCs w:val="24"/>
        </w:rPr>
        <w:t xml:space="preserve"> S. </w:t>
      </w:r>
      <w:proofErr w:type="spellStart"/>
      <w:r w:rsidRPr="00E40A45">
        <w:rPr>
          <w:rFonts w:asciiTheme="majorBidi" w:hAnsiTheme="majorBidi" w:cstheme="majorBidi"/>
          <w:sz w:val="24"/>
          <w:szCs w:val="24"/>
        </w:rPr>
        <w:t>Abdoon</w:t>
      </w:r>
      <w:proofErr w:type="spellEnd"/>
      <w:r w:rsidRPr="00E40A45">
        <w:rPr>
          <w:rFonts w:asciiTheme="majorBidi" w:hAnsiTheme="majorBidi" w:cstheme="majorBidi"/>
          <w:sz w:val="24"/>
          <w:szCs w:val="24"/>
        </w:rPr>
        <w:t xml:space="preserve">, Said A. Aziz, Shams G, </w:t>
      </w:r>
      <w:proofErr w:type="spellStart"/>
      <w:r w:rsidRPr="00E40A45">
        <w:rPr>
          <w:rFonts w:asciiTheme="majorBidi" w:hAnsiTheme="majorBidi" w:cstheme="majorBidi"/>
          <w:sz w:val="24"/>
          <w:szCs w:val="24"/>
        </w:rPr>
        <w:t>Sameh</w:t>
      </w:r>
      <w:proofErr w:type="spellEnd"/>
      <w:r w:rsidRPr="00E40A45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E40A45">
        <w:rPr>
          <w:rFonts w:asciiTheme="majorBidi" w:hAnsiTheme="majorBidi" w:cstheme="majorBidi"/>
          <w:sz w:val="24"/>
          <w:szCs w:val="24"/>
        </w:rPr>
        <w:t>Elnabtity</w:t>
      </w:r>
      <w:proofErr w:type="spellEnd"/>
      <w:r w:rsidRPr="00E40A45">
        <w:rPr>
          <w:rFonts w:asciiTheme="majorBidi" w:hAnsiTheme="majorBidi" w:cstheme="majorBidi"/>
          <w:sz w:val="24"/>
          <w:szCs w:val="24"/>
        </w:rPr>
        <w:t xml:space="preserve">. (2019): </w:t>
      </w:r>
      <w:r w:rsidRPr="00E40A4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A study on the in vivo effects of short and long term administration of gold </w:t>
      </w:r>
      <w:proofErr w:type="spellStart"/>
      <w:r w:rsidRPr="00E40A4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nanorods</w:t>
      </w:r>
      <w:proofErr w:type="spellEnd"/>
      <w:r w:rsidRPr="00E40A4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on heart and brain tissues of normal male albino rats</w:t>
      </w:r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. </w:t>
      </w:r>
      <w:r w:rsidR="004D16AE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International Journal of Applied Pharmaceutics</w:t>
      </w:r>
      <w:r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 </w:t>
      </w:r>
      <w:r w:rsidRPr="00E40A4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(In </w:t>
      </w:r>
      <w:r w:rsidR="003A02CA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>press</w:t>
      </w:r>
      <w:r w:rsidRPr="00E40A45"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  <w:t xml:space="preserve">) </w:t>
      </w:r>
    </w:p>
    <w:p w14:paraId="5FD1F547" w14:textId="77777777" w:rsidR="00807BF8" w:rsidRPr="00337D87" w:rsidRDefault="00807BF8" w:rsidP="00807BF8">
      <w:pPr>
        <w:spacing w:line="36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sectPr w:rsidR="00807BF8" w:rsidRPr="00337D87" w:rsidSect="009373D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4E4"/>
    <w:multiLevelType w:val="hybridMultilevel"/>
    <w:tmpl w:val="499A2D32"/>
    <w:lvl w:ilvl="0" w:tplc="DE42108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8"/>
    <w:rsid w:val="000E3050"/>
    <w:rsid w:val="002428BC"/>
    <w:rsid w:val="002655DF"/>
    <w:rsid w:val="002C64BE"/>
    <w:rsid w:val="003861D4"/>
    <w:rsid w:val="003A02CA"/>
    <w:rsid w:val="003B57A8"/>
    <w:rsid w:val="004D16AE"/>
    <w:rsid w:val="004F195A"/>
    <w:rsid w:val="005F056A"/>
    <w:rsid w:val="006D1F6D"/>
    <w:rsid w:val="007E7F7C"/>
    <w:rsid w:val="00807BF8"/>
    <w:rsid w:val="008702E8"/>
    <w:rsid w:val="00902855"/>
    <w:rsid w:val="009373D8"/>
    <w:rsid w:val="009E065C"/>
    <w:rsid w:val="00A91736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5F86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.mahmoud.9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11</cp:revision>
  <cp:lastPrinted>2020-05-07T22:13:00Z</cp:lastPrinted>
  <dcterms:created xsi:type="dcterms:W3CDTF">2019-10-22T18:56:00Z</dcterms:created>
  <dcterms:modified xsi:type="dcterms:W3CDTF">2020-05-07T22:13:00Z</dcterms:modified>
</cp:coreProperties>
</file>